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</w:pPr>
      <w:r>
        <w:rPr>
          <w:rtl w:val="0"/>
          <w:lang w:val="fr-FR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tences attendues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fin du cycle 2</w:t>
      </w:r>
    </w:p>
    <w:p>
      <w:pPr>
        <w:pStyle w:val="Titre"/>
        <w:jc w:val="center"/>
      </w:pPr>
      <w:r>
        <w:rPr>
          <w:rtl w:val="0"/>
          <w:lang w:val="fr-FR"/>
        </w:rPr>
        <w:t>Explications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Titre.0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0075b9"/>
          <w:sz w:val="32"/>
          <w:szCs w:val="32"/>
          <w:rtl w:val="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0075b9"/>
          <w:sz w:val="32"/>
          <w:szCs w:val="32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1cb000"/>
          <w:sz w:val="32"/>
          <w:szCs w:val="32"/>
          <w:rtl w:val="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f9300"/>
          <w:sz w:val="32"/>
          <w:szCs w:val="32"/>
          <w:rtl w:val="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f9300"/>
          <w:sz w:val="32"/>
          <w:szCs w:val="32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ef5ea7"/>
          <w:sz w:val="32"/>
          <w:szCs w:val="32"/>
          <w:rtl w:val="0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8ba00"/>
          <w:sz w:val="32"/>
          <w:szCs w:val="32"/>
          <w:rtl w:val="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"/>
        <w:jc w:val="center"/>
        <w:rPr>
          <w:rStyle w:val="Aucun"/>
        </w:rPr>
      </w:pP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tences attendues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fin du cycle 2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Cycle 2, cycle des apprentissages fondamentaux : CP, CE1, CE2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vous mets ce tableau juste pour relier les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du socle aux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rents domaines. Un peu de culture g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rale</w:t>
      </w:r>
      <w:r>
        <w:rPr>
          <w:rStyle w:val="Aucun"/>
          <w:sz w:val="26"/>
          <w:szCs w:val="26"/>
          <w:rtl w:val="0"/>
          <w:lang w:val="fr-FR"/>
        </w:rPr>
        <w:t xml:space="preserve">… </w:t>
      </w:r>
      <w:r>
        <w:rPr>
          <w:rStyle w:val="Aucun"/>
          <w:sz w:val="26"/>
          <w:szCs w:val="26"/>
          <w:rtl w:val="0"/>
          <w:lang w:val="fr-FR"/>
        </w:rPr>
        <w:t>Honn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tement, vous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avez pas besoin de conna</w:t>
      </w:r>
      <w:r>
        <w:rPr>
          <w:rStyle w:val="Aucun"/>
          <w:sz w:val="26"/>
          <w:szCs w:val="26"/>
          <w:rtl w:val="0"/>
          <w:lang w:val="fr-FR"/>
        </w:rPr>
        <w:t>î</w:t>
      </w:r>
      <w:r>
        <w:rPr>
          <w:rStyle w:val="Aucun"/>
          <w:sz w:val="26"/>
          <w:szCs w:val="26"/>
          <w:rtl w:val="0"/>
          <w:lang w:val="fr-FR"/>
        </w:rPr>
        <w:t xml:space="preserve">tre tout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fr-FR"/>
        </w:rPr>
        <w:t>FRANCAIS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u w:color="000000"/>
          <w:rtl w:val="0"/>
        </w:rPr>
      </w:pPr>
    </w:p>
    <w:p>
      <w:pPr>
        <w:pStyle w:val="Corps"/>
        <w:rPr>
          <w:rStyle w:val="Aucun"/>
          <w:sz w:val="26"/>
          <w:szCs w:val="26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50"/>
        <w:gridCol w:w="1912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7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Comprendre et 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exprimer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oral 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couter pour comprendre des messages oraux ou des textes lus par un adulte.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Dire pour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tre entendu et compris.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changes dans des situations diversifi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Adopter une distance critique par rapport au langage produit.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7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Lire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Identifier des mots de mani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 de plus en plus ais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e. 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Comprendre un texte.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Pratiquer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rentes formes de lecture.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Lire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voix haute.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ler sa compr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hension.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crire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Copier de mani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 experte.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Produire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crits. 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viser et am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liorer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crit qu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on a produit. 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650" w:hRule="atLeast"/>
        </w:trPr>
        <w:tc>
          <w:tcPr>
            <w:tcW w:type="dxa" w:w="7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Comprendre le fonctionnement de la langue 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Maitriser les relations entre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oral et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crit.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moriser et se rem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morer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orthographe de mots fr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quents et de mots irr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guliers dont le sens est connu.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Identifier les principaux constituants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une phrase simple en relation avec sa coh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rence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mantique.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Raisonner pour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mes orthographiques.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Orthographier les formes verbales les plus fr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quentes. 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Identifier des relations entre les mots, entre les mots et leur contexte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utilisation ;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en servir pour mieux comprendre.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tendre ses connaissances lexicales, 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moriser et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utiliser des mots nouvellement appris.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</w:tbl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fr-FR"/>
        </w:rPr>
        <w:t>MATHEMATIQUES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34"/>
        <w:gridCol w:w="2204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177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Chercher </w:t>
            </w:r>
          </w:p>
          <w:p>
            <w:pPr>
              <w:pStyle w:val="Corps"/>
              <w:numPr>
                <w:ilvl w:val="0"/>
                <w:numId w:val="5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engager dans une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marche de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solution de probl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mes en observant, en posant des questions, en manipulant, en exp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rimentant, en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mettant des hypoth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ses, si besoin avec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accompagnement du professeur apr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s un temps de recherche autonome. </w:t>
            </w:r>
          </w:p>
          <w:p>
            <w:pPr>
              <w:pStyle w:val="Corps"/>
              <w:numPr>
                <w:ilvl w:val="0"/>
                <w:numId w:val="5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Tester, essayer plusieurs pistes propos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es par soi-m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me, les autres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ves ou le professeur.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2, 4</w:t>
            </w:r>
          </w:p>
        </w:tc>
      </w:tr>
      <w:tr>
        <w:tblPrEx>
          <w:shd w:val="clear" w:color="auto" w:fill="d0ddef"/>
        </w:tblPrEx>
        <w:trPr>
          <w:trHeight w:val="199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Mod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liser</w:t>
            </w:r>
          </w:p>
          <w:p>
            <w:pPr>
              <w:pStyle w:val="Corps"/>
              <w:numPr>
                <w:ilvl w:val="0"/>
                <w:numId w:val="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Utiliser des outils math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matiques pour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mes concrets, notamment des probl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mes portant sur des grandeurs et leurs mesures.</w:t>
            </w:r>
          </w:p>
          <w:p>
            <w:pPr>
              <w:pStyle w:val="Corps"/>
              <w:numPr>
                <w:ilvl w:val="0"/>
                <w:numId w:val="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aliser que certains probl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mes rel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vent de situations additives,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autres de situations multiplicatives, de partages ou de groupements.</w:t>
            </w:r>
          </w:p>
          <w:p>
            <w:pPr>
              <w:pStyle w:val="Corps"/>
              <w:numPr>
                <w:ilvl w:val="0"/>
                <w:numId w:val="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Reconnaitre des formes dans des objets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els et les reproduire g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triquement.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1, 2, 4</w:t>
            </w:r>
          </w:p>
        </w:tc>
      </w:tr>
      <w:tr>
        <w:tblPrEx>
          <w:shd w:val="clear" w:color="auto" w:fill="d0ddef"/>
        </w:tblPrEx>
        <w:trPr>
          <w:trHeight w:val="155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senter</w:t>
            </w:r>
          </w:p>
          <w:p>
            <w:pPr>
              <w:pStyle w:val="Corps"/>
              <w:numPr>
                <w:ilvl w:val="0"/>
                <w:numId w:val="7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Appr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hender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rents syst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mes de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sentations (dessins, sch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mas, arbres de calcul, etc.).</w:t>
            </w:r>
          </w:p>
          <w:p>
            <w:pPr>
              <w:pStyle w:val="Corps"/>
              <w:numPr>
                <w:ilvl w:val="0"/>
                <w:numId w:val="7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Utiliser des nombres pour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senter des quantit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s ou des grandeurs. </w:t>
            </w:r>
          </w:p>
          <w:p>
            <w:pPr>
              <w:pStyle w:val="Corps"/>
              <w:numPr>
                <w:ilvl w:val="0"/>
                <w:numId w:val="7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Utiliser diverses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sentations de solides et de situations spatiales.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d0ddef"/>
        </w:tblPrEx>
        <w:trPr>
          <w:trHeight w:val="199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Raisonner</w:t>
            </w:r>
          </w:p>
          <w:p>
            <w:pPr>
              <w:pStyle w:val="Corps"/>
              <w:numPr>
                <w:ilvl w:val="0"/>
                <w:numId w:val="8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Anticiper le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sultat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une manipulation,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 calcul, ou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une mesure.</w:t>
            </w:r>
          </w:p>
          <w:p>
            <w:pPr>
              <w:pStyle w:val="Corps"/>
              <w:numPr>
                <w:ilvl w:val="0"/>
                <w:numId w:val="8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Raisonner sur des figures pour les reproduire avec des instruments.</w:t>
            </w:r>
          </w:p>
          <w:p>
            <w:pPr>
              <w:pStyle w:val="Corps"/>
              <w:numPr>
                <w:ilvl w:val="0"/>
                <w:numId w:val="8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Tenir compte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ments divers (arguments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autrui,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sultats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une exp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rience, sources internes ou externes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la classe, etc.) pour modifier son jugement.</w:t>
            </w:r>
          </w:p>
          <w:p>
            <w:pPr>
              <w:pStyle w:val="Corps"/>
              <w:numPr>
                <w:ilvl w:val="0"/>
                <w:numId w:val="8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Prendre progressivement conscience de la 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cessit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et de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 de justifier ce que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on affirme.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2, 3, 4</w:t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Calculer</w:t>
            </w:r>
          </w:p>
          <w:p>
            <w:pPr>
              <w:pStyle w:val="Corps"/>
              <w:numPr>
                <w:ilvl w:val="0"/>
                <w:numId w:val="9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Calculer avec des nombres entiers, mentalement ou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la main, de mani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 exacte ou approch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e, en utilisant des strat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gies adapt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es aux nombres en jeu. </w:t>
            </w:r>
          </w:p>
          <w:p>
            <w:pPr>
              <w:pStyle w:val="Corps"/>
              <w:numPr>
                <w:ilvl w:val="0"/>
                <w:numId w:val="9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ler la vraisemblance de ses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sultats.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Communiquer</w:t>
            </w:r>
          </w:p>
          <w:p>
            <w:pPr>
              <w:pStyle w:val="Corps"/>
              <w:numPr>
                <w:ilvl w:val="0"/>
                <w:numId w:val="10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Utiliser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oral et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crit, le langage naturel puis quelques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sentations et quelques symboles pour expliciter des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marches, argumenter des raisonnements.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1, 3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28"/>
          <w:szCs w:val="28"/>
          <w:u w:color="000000"/>
          <w:shd w:val="clear" w:color="auto" w:fill="ffffff"/>
          <w:rtl w:val="0"/>
          <w:lang w:val="fr-FR"/>
        </w:rPr>
        <w:t>LANGUES VIVANTES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14"/>
        <w:gridCol w:w="1948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Comprendre 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oral</w:t>
            </w:r>
          </w:p>
          <w:p>
            <w:pPr>
              <w:pStyle w:val="Corps"/>
              <w:numPr>
                <w:ilvl w:val="0"/>
                <w:numId w:val="11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couter et comprendre des messages oraux simples relevant de la vie quotidienne, des textes simples lus par le professeur.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exprimer oralement en continu</w:t>
            </w:r>
          </w:p>
          <w:p>
            <w:pPr>
              <w:pStyle w:val="Corps"/>
              <w:numPr>
                <w:ilvl w:val="0"/>
                <w:numId w:val="12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En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appuyant sur un mod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le,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citer, se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crire, lire ou raconter.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Prendre part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une conversation</w:t>
            </w:r>
          </w:p>
          <w:p>
            <w:pPr>
              <w:pStyle w:val="Corps"/>
              <w:numPr>
                <w:ilvl w:val="0"/>
                <w:numId w:val="13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changes simples pour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tre entendu et compris dans quelques situations diversifi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es de la vie quotidienne.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couvrir quelques aspects culturels 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une langue vivante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trang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 et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gionale</w:t>
            </w:r>
          </w:p>
          <w:p>
            <w:pPr>
              <w:pStyle w:val="Corps"/>
              <w:numPr>
                <w:ilvl w:val="0"/>
                <w:numId w:val="14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Identifier quelques grands 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res culturels de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environnement quotidien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ves du 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ge dans les pays ou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gions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tudi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1, 2, 3, 5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  <w:r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  <w:lang w:val="fr-FR"/>
        </w:rPr>
        <w:t>Arts visuels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31"/>
        <w:gridCol w:w="2107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1770" w:hRule="atLeast"/>
        </w:trPr>
        <w:tc>
          <w:tcPr>
            <w:tcW w:type="dxa" w:w="7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Exp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rimenter, produire, cr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er </w:t>
            </w:r>
          </w:p>
          <w:p>
            <w:pPr>
              <w:pStyle w:val="Corps"/>
              <w:numPr>
                <w:ilvl w:val="0"/>
                <w:numId w:val="15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approprier par les sens les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ments du langage plastique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: mati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re, support, couleur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… </w:t>
            </w:r>
          </w:p>
          <w:p>
            <w:pPr>
              <w:pStyle w:val="Corps"/>
              <w:numPr>
                <w:ilvl w:val="0"/>
                <w:numId w:val="15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Observer les effets produits par ses gestes, par les outils utilis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numPr>
                <w:ilvl w:val="0"/>
                <w:numId w:val="15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Tirer parti de trouvailles fortuites, saisir les effets du hasard.</w:t>
            </w:r>
          </w:p>
          <w:p>
            <w:pPr>
              <w:pStyle w:val="Corps"/>
              <w:numPr>
                <w:ilvl w:val="0"/>
                <w:numId w:val="15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senter le monde environnant ou donner forme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son imaginaire en explorant la diversit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des domaines (dessin, collage, modelage, sculpture, photographie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).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1, 2,4, 5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7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Mettre en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uvre un projet artistique </w:t>
            </w:r>
          </w:p>
          <w:p>
            <w:pPr>
              <w:pStyle w:val="Corps"/>
              <w:numPr>
                <w:ilvl w:val="0"/>
                <w:numId w:val="16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Respecter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espace, les outils et les mat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riaux partag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numPr>
                <w:ilvl w:val="0"/>
                <w:numId w:val="16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Mener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terme une production individuelle dans le cadre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 projet accompagn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par le professeur.</w:t>
            </w:r>
          </w:p>
          <w:p>
            <w:pPr>
              <w:pStyle w:val="Corps"/>
              <w:numPr>
                <w:ilvl w:val="0"/>
                <w:numId w:val="16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Montrer sans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ticence ses productions et regarder celles des autres.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2, 3, 5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d0ddef"/>
        </w:tblPrEx>
        <w:trPr>
          <w:trHeight w:val="1550" w:hRule="atLeast"/>
        </w:trPr>
        <w:tc>
          <w:tcPr>
            <w:tcW w:type="dxa" w:w="7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exprimer, analyser sa pratique, celle de ses pairs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;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tablir une relation avec celle des artistes, 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ouvrir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alt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numPr>
                <w:ilvl w:val="0"/>
                <w:numId w:val="17"/>
              </w:numPr>
              <w:shd w:val="clear" w:color="auto" w:fill="daeef3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Prendre la parole devant un groupe pour partager ses trouvailles,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resser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celles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couvertes dans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art.</w:t>
            </w:r>
          </w:p>
          <w:p>
            <w:pPr>
              <w:pStyle w:val="Corps"/>
              <w:numPr>
                <w:ilvl w:val="0"/>
                <w:numId w:val="17"/>
              </w:numPr>
              <w:shd w:val="clear" w:color="auto" w:fill="daeef3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Formuler ses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motions, entendre et respecter celles des autres.</w:t>
            </w:r>
          </w:p>
          <w:p>
            <w:pPr>
              <w:pStyle w:val="Corps"/>
              <w:numPr>
                <w:ilvl w:val="0"/>
                <w:numId w:val="17"/>
              </w:numPr>
              <w:shd w:val="clear" w:color="auto" w:fill="daeef3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rer les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ments du langage plastique dans une production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: couleurs, formes, mati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res, support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… 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1, 3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d0ddef"/>
        </w:tblPrEx>
        <w:trPr>
          <w:trHeight w:val="1990" w:hRule="atLeast"/>
        </w:trPr>
        <w:tc>
          <w:tcPr>
            <w:tcW w:type="dxa" w:w="7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rer dans les domaines li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s aux arts plastiques,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tre sensible aux questions de 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art.</w:t>
            </w:r>
          </w:p>
          <w:p>
            <w:pPr>
              <w:pStyle w:val="Corps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Effectuer des choix parmi les images rencontr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es,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tablir un premier lien entre son univers visuel et la culture artistique.</w:t>
            </w:r>
          </w:p>
          <w:p>
            <w:pPr>
              <w:pStyle w:val="Corps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Exprimer ses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motions lors de la rencontre avec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art, manifester son int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t pour la rencontre directe avec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uvres. </w:t>
            </w:r>
          </w:p>
          <w:p>
            <w:pPr>
              <w:pStyle w:val="Corps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approprier quelques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uvres de domaines et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poques vari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es appartenant au patrimoine national et mondial.</w:t>
            </w:r>
          </w:p>
          <w:p>
            <w:pPr>
              <w:pStyle w:val="Corps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ouvrir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la diversit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des pratiques et des cultures artistiques.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32"/>
          <w:szCs w:val="32"/>
          <w:u w:color="000000"/>
          <w:rtl w:val="0"/>
          <w:lang w:val="fr-FR"/>
        </w:rPr>
        <w:t>EDUCATION MUSICALE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78"/>
        <w:gridCol w:w="1984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Chanter</w:t>
            </w:r>
          </w:p>
          <w:p>
            <w:pPr>
              <w:pStyle w:val="Corps"/>
              <w:numPr>
                <w:ilvl w:val="0"/>
                <w:numId w:val="19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Chanter une 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lodie simple avec une intonation juste, chanter une comptine ou un chant par imitation.</w:t>
            </w:r>
          </w:p>
          <w:p>
            <w:pPr>
              <w:pStyle w:val="Corps"/>
              <w:numPr>
                <w:ilvl w:val="0"/>
                <w:numId w:val="19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ter un chant avec expressivit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1.4, 5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couter, comparer</w:t>
            </w:r>
          </w:p>
          <w:p>
            <w:pPr>
              <w:pStyle w:val="Corps"/>
              <w:numPr>
                <w:ilvl w:val="0"/>
                <w:numId w:val="20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crire et comparer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ments sonores. </w:t>
            </w:r>
          </w:p>
          <w:p>
            <w:pPr>
              <w:pStyle w:val="Corps"/>
              <w:numPr>
                <w:ilvl w:val="0"/>
                <w:numId w:val="20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Comparer des musiques et identifier des ressemblances et des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rences.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1.1, 1.4, 3, 5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Explorer et imaginer</w:t>
            </w:r>
          </w:p>
          <w:p>
            <w:pPr>
              <w:pStyle w:val="Corps"/>
              <w:numPr>
                <w:ilvl w:val="0"/>
                <w:numId w:val="21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Imaginer des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sentations graphiques ou corporelles de la musique.</w:t>
            </w:r>
          </w:p>
          <w:p>
            <w:pPr>
              <w:pStyle w:val="Corps"/>
              <w:numPr>
                <w:ilvl w:val="0"/>
                <w:numId w:val="21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Inventer une organisation simple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partir de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rents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ments sonores. 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1.4, 5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changer, partager</w:t>
            </w:r>
          </w:p>
          <w:p>
            <w:pPr>
              <w:pStyle w:val="Corps"/>
              <w:numPr>
                <w:ilvl w:val="0"/>
                <w:numId w:val="22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Exprimer ses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motions, ses sentiments et ses 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rences.</w:t>
            </w:r>
          </w:p>
          <w:p>
            <w:pPr>
              <w:pStyle w:val="Corps"/>
              <w:numPr>
                <w:ilvl w:val="0"/>
                <w:numId w:val="22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couter et respecter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avis des autres et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expression de leur sensibilit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1.1, 3, 5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32"/>
          <w:szCs w:val="32"/>
          <w:u w:color="000000"/>
          <w:rtl w:val="0"/>
          <w:lang w:val="fr-FR"/>
        </w:rPr>
        <w:t>EDUCATION PHYSIQUE ET SPORTIVE</w:t>
      </w:r>
    </w:p>
    <w:tbl>
      <w:tblPr>
        <w:tblW w:w="93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94"/>
        <w:gridCol w:w="1952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velopper sa motricit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et construire un langage du corps </w:t>
            </w:r>
          </w:p>
          <w:p>
            <w:pPr>
              <w:pStyle w:val="Corps"/>
              <w:numPr>
                <w:ilvl w:val="0"/>
                <w:numId w:val="23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Prendre conscience des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rentes ressources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mobiliser pour agir avec son corps. </w:t>
            </w:r>
          </w:p>
          <w:p>
            <w:pPr>
              <w:pStyle w:val="Corps"/>
              <w:numPr>
                <w:ilvl w:val="0"/>
                <w:numId w:val="23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Adapter sa motricit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des environnements vari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numPr>
                <w:ilvl w:val="0"/>
                <w:numId w:val="23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exprimer par son corps et accepter de se montrer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autrui.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approprier seul ou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plusieurs, par la pratique, les m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thodes et outils pour apprendre</w:t>
            </w:r>
          </w:p>
          <w:p>
            <w:pPr>
              <w:pStyle w:val="Corps"/>
              <w:numPr>
                <w:ilvl w:val="0"/>
                <w:numId w:val="24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Apprendre par essai-erreur en utilisant les effets de son action.</w:t>
            </w:r>
          </w:p>
          <w:p>
            <w:pPr>
              <w:pStyle w:val="Corps"/>
              <w:numPr>
                <w:ilvl w:val="0"/>
                <w:numId w:val="24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Apprendre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planifier son action avant de la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aliser.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155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Partager des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gles, assumer des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les et des responsabilit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s pour apprendre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vivre ensemble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</w:p>
          <w:p>
            <w:pPr>
              <w:pStyle w:val="Corps"/>
              <w:numPr>
                <w:ilvl w:val="0"/>
                <w:numId w:val="25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Assumer les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les sp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cifiques aux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rentes APSA (joueur, coach, arbitre, juge, 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diateur, organisateur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). </w:t>
            </w:r>
          </w:p>
          <w:p>
            <w:pPr>
              <w:pStyle w:val="Corps"/>
              <w:numPr>
                <w:ilvl w:val="0"/>
                <w:numId w:val="2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laborer, respecter et faire respecter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gles et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glements.</w:t>
            </w:r>
          </w:p>
          <w:p>
            <w:pPr>
              <w:pStyle w:val="Corps"/>
              <w:numPr>
                <w:ilvl w:val="0"/>
                <w:numId w:val="2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Accepter et prendre en consid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ration toutes les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rences interindividuelles au sein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 groupe.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Apprendre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entretenir sa sant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par une activit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physique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guli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</w:t>
            </w:r>
          </w:p>
          <w:p>
            <w:pPr>
              <w:pStyle w:val="Corps"/>
              <w:numPr>
                <w:ilvl w:val="0"/>
                <w:numId w:val="27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couvrir les principes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une bonne hygi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ne de vie,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des fins de sant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et de bien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tre.</w:t>
            </w:r>
          </w:p>
          <w:p>
            <w:pPr>
              <w:pStyle w:val="Corps"/>
              <w:numPr>
                <w:ilvl w:val="0"/>
                <w:numId w:val="27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Ne pas se mettre en danger par un engagement physique dont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intensit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exc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de ses qualit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 physiques.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approprier une culture physique sportive et artistique </w:t>
            </w:r>
          </w:p>
          <w:p>
            <w:pPr>
              <w:pStyle w:val="Corps"/>
              <w:numPr>
                <w:ilvl w:val="0"/>
                <w:numId w:val="28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couvrir la vari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des activit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 et des spectacles sportifs.</w:t>
            </w:r>
          </w:p>
          <w:p>
            <w:pPr>
              <w:pStyle w:val="Corps"/>
              <w:numPr>
                <w:ilvl w:val="0"/>
                <w:numId w:val="28"/>
              </w:numPr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Exprimer des intentions et des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motions par son corps dans un projet artistique individuel ou collectif.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fr-FR"/>
        </w:rPr>
        <w:t>QUESTIONNER LE VIVANT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42"/>
        <w:gridCol w:w="1988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Pratiquer des 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marches scientifiques </w:t>
            </w:r>
          </w:p>
          <w:p>
            <w:pPr>
              <w:pStyle w:val="Corps"/>
              <w:numPr>
                <w:ilvl w:val="0"/>
                <w:numId w:val="29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Pratiquer, avec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aide des professeurs, quelques moments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marche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investigation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: questionnement, observation, exp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rience, description, raisonnement, conclusion.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Imaginer,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aliser 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Observer des objets simples et des situations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 de la vie quotidienne.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Imaginer et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aliser des objets simples et de petits montages.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approprier des outils et des m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thodes </w:t>
            </w:r>
          </w:p>
          <w:p>
            <w:pPr>
              <w:pStyle w:val="Corps"/>
              <w:numPr>
                <w:ilvl w:val="0"/>
                <w:numId w:val="31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Choisir ou utiliser le mat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riel adapt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propos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pour mener une observation, effectuer une mesure,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aliser une exp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rience. </w:t>
            </w:r>
          </w:p>
          <w:p>
            <w:pPr>
              <w:pStyle w:val="Corps"/>
              <w:numPr>
                <w:ilvl w:val="0"/>
                <w:numId w:val="31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Manipuler avec soin.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177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Pratiquer des langages</w:t>
            </w:r>
          </w:p>
          <w:p>
            <w:pPr>
              <w:pStyle w:val="Corps"/>
              <w:numPr>
                <w:ilvl w:val="0"/>
                <w:numId w:val="32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Communiquer en fran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ais,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oral et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crit, en cultivant 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cision, syntaxe et richesse du vocabulaire.</w:t>
            </w:r>
          </w:p>
          <w:p>
            <w:pPr>
              <w:pStyle w:val="Corps"/>
              <w:numPr>
                <w:ilvl w:val="0"/>
                <w:numId w:val="32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Lire et comprendre des textes documentaires illustr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numPr>
                <w:ilvl w:val="0"/>
                <w:numId w:val="32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Extraire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 texte ou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une ressource documentaire une information qui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pond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 besoin, une question.</w:t>
            </w:r>
          </w:p>
          <w:p>
            <w:pPr>
              <w:pStyle w:val="Corps"/>
              <w:numPr>
                <w:ilvl w:val="0"/>
                <w:numId w:val="32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Restituer les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sultats des observations sous forme orale ou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crits vari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 (notes, listes, dessins, voire tableaux).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Mobiliser des outils num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riques </w:t>
            </w:r>
          </w:p>
          <w:p>
            <w:pPr>
              <w:pStyle w:val="Corps"/>
              <w:numPr>
                <w:ilvl w:val="0"/>
                <w:numId w:val="33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couvrir des outils num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riques pour dessiner, communiquer, rechercher et restituer des informations simples.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155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Adopter un comportement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thique et responsable</w:t>
            </w:r>
          </w:p>
          <w:p>
            <w:pPr>
              <w:pStyle w:val="Corps"/>
              <w:numPr>
                <w:ilvl w:val="0"/>
                <w:numId w:val="34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velopper un comportement responsable vis-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à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-vis de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environnement et de la sant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ce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une attitude raisonn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 fond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 sur la connaissance.</w:t>
            </w:r>
          </w:p>
          <w:p>
            <w:pPr>
              <w:pStyle w:val="Corps"/>
              <w:numPr>
                <w:ilvl w:val="0"/>
                <w:numId w:val="34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Mettre en pratique les premi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res notions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 gestion de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environnement par des actions simples individuelles ou collectives : gestion de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chets, du papier,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conomies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eau et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nergie (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clairage, chauffage...).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3, 5</w:t>
            </w:r>
          </w:p>
        </w:tc>
      </w:tr>
      <w:tr>
        <w:tblPrEx>
          <w:shd w:val="clear" w:color="auto" w:fill="d0ddef"/>
        </w:tblPrEx>
        <w:trPr>
          <w:trHeight w:val="155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 situer dans 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espace et dans le temps</w:t>
            </w:r>
          </w:p>
          <w:p>
            <w:pPr>
              <w:pStyle w:val="Corps"/>
              <w:numPr>
                <w:ilvl w:val="0"/>
                <w:numId w:val="35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Construire des 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res spatiaux. </w:t>
            </w:r>
          </w:p>
          <w:p>
            <w:pPr>
              <w:pStyle w:val="Corps"/>
              <w:numPr>
                <w:ilvl w:val="1"/>
                <w:numId w:val="3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rer,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orienter et se situer dans un espace g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ographique.</w:t>
            </w:r>
          </w:p>
          <w:p>
            <w:pPr>
              <w:pStyle w:val="Corps"/>
              <w:numPr>
                <w:ilvl w:val="1"/>
                <w:numId w:val="3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Utiliser et produire des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sentations de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espace.</w:t>
            </w:r>
          </w:p>
          <w:p>
            <w:pPr>
              <w:pStyle w:val="Corps"/>
              <w:numPr>
                <w:ilvl w:val="0"/>
                <w:numId w:val="35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Construire des 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res temporels.</w:t>
            </w:r>
          </w:p>
          <w:p>
            <w:pPr>
              <w:pStyle w:val="Corps"/>
              <w:numPr>
                <w:ilvl w:val="1"/>
                <w:numId w:val="3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Ordonner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nements.</w:t>
            </w:r>
          </w:p>
          <w:p>
            <w:pPr>
              <w:pStyle w:val="Corps"/>
              <w:numPr>
                <w:ilvl w:val="1"/>
                <w:numId w:val="3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moriser quelques 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res chronologiques.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Titre"/>
        <w:rPr>
          <w:rStyle w:val="Aucun"/>
          <w:rFonts w:ascii="Arial" w:cs="Arial" w:hAnsi="Arial" w:eastAsia="Arial"/>
          <w:outline w:val="0"/>
          <w:color w:val="b41700"/>
          <w:sz w:val="32"/>
          <w:szCs w:val="32"/>
          <w14:textFill>
            <w14:solidFill>
              <w14:srgbClr w14:val="B51700"/>
            </w14:solidFill>
          </w14:textFill>
        </w:rPr>
      </w:pPr>
    </w:p>
    <w:p>
      <w:pPr>
        <w:pStyle w:val="Titre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PREPARER VOTRE DOSSIER DE SUIVI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sz w:val="26"/>
          <w:szCs w:val="26"/>
          <w:rtl w:val="0"/>
          <w:lang w:val="fr-FR"/>
        </w:rPr>
        <w:t xml:space="preserve"> </w:t>
      </w: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document est donc l</w:t>
      </w:r>
      <w:r>
        <w:rPr>
          <w:rStyle w:val="Aucun"/>
          <w:sz w:val="26"/>
          <w:szCs w:val="26"/>
          <w:rtl w:val="0"/>
          <w:lang w:val="fr-FR"/>
        </w:rPr>
        <w:t xml:space="preserve">à à </w:t>
      </w:r>
      <w:r>
        <w:rPr>
          <w:rStyle w:val="Aucun"/>
          <w:sz w:val="26"/>
          <w:szCs w:val="26"/>
          <w:rtl w:val="0"/>
          <w:lang w:val="fr-FR"/>
        </w:rPr>
        <w:t>titre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exemple,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aide possible et ainsi vous saurez ce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quoi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inspecteur peut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rer.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peut aussi vous montrer que beaucoup de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"/>
        <w:rPr>
          <w:rStyle w:val="Aucun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</w:p>
    <w:p>
      <w:pPr>
        <w:pStyle w:val="Corps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fr-FR"/>
        </w:rPr>
        <w:t>« </w:t>
      </w:r>
      <w:r>
        <w:rPr>
          <w:i w:val="1"/>
          <w:iCs w:val="1"/>
          <w:sz w:val="26"/>
          <w:szCs w:val="26"/>
          <w:rtl w:val="0"/>
          <w:lang w:val="fr-FR"/>
        </w:rPr>
        <w:t>L</w:t>
      </w:r>
      <w:r>
        <w:rPr>
          <w:i w:val="1"/>
          <w:iCs w:val="1"/>
          <w:sz w:val="26"/>
          <w:szCs w:val="26"/>
          <w:rtl w:val="0"/>
          <w:lang w:val="fr-FR"/>
        </w:rPr>
        <w:t>’</w:t>
      </w:r>
      <w:r>
        <w:rPr>
          <w:i w:val="1"/>
          <w:iCs w:val="1"/>
          <w:sz w:val="26"/>
          <w:szCs w:val="26"/>
          <w:rtl w:val="0"/>
          <w:lang w:val="fr-FR"/>
        </w:rPr>
        <w:t>enqu</w:t>
      </w:r>
      <w:r>
        <w:rPr>
          <w:i w:val="1"/>
          <w:iCs w:val="1"/>
          <w:sz w:val="26"/>
          <w:szCs w:val="26"/>
          <w:rtl w:val="0"/>
          <w:lang w:val="fr-FR"/>
        </w:rPr>
        <w:t>ê</w:t>
      </w:r>
      <w:r>
        <w:rPr>
          <w:i w:val="1"/>
          <w:iCs w:val="1"/>
          <w:sz w:val="26"/>
          <w:szCs w:val="26"/>
          <w:rtl w:val="0"/>
          <w:lang w:val="fr-FR"/>
        </w:rPr>
        <w:t>teur peut se r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f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change et le rendre le plus riche et constructif possible.</w:t>
      </w:r>
      <w:r>
        <w:rPr>
          <w:i w:val="1"/>
          <w:iCs w:val="1"/>
          <w:sz w:val="26"/>
          <w:szCs w:val="26"/>
          <w:rtl w:val="0"/>
          <w:lang w:val="fr-FR"/>
        </w:rPr>
        <w:t> »</w:t>
      </w:r>
    </w:p>
    <w:p>
      <w:pPr>
        <w:pStyle w:val="Corps"/>
        <w:rPr>
          <w:i w:val="1"/>
          <w:iCs w:val="1"/>
          <w:sz w:val="26"/>
          <w:szCs w:val="26"/>
        </w:rPr>
      </w:pPr>
    </w:p>
    <w:p>
      <w:pPr>
        <w:pStyle w:val="Corps"/>
        <w:rPr>
          <w:b w:val="1"/>
          <w:bCs w:val="1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Et puis, ne gardez que les tableaux que vous remplirez, enlevez bien tout mon bla-bla !</w:t>
      </w:r>
    </w:p>
    <w:p>
      <w:pPr>
        <w:pStyle w:val="Corps"/>
        <w:rPr>
          <w:b w:val="1"/>
          <w:bCs w:val="1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 xml:space="preserve">Bref : ne gardez QUE les tableaux et ma petite phrase </w:t>
      </w:r>
      <w:r>
        <w:rPr>
          <w:b w:val="1"/>
          <w:b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 xml:space="preserve">« … » </w:t>
      </w:r>
      <w:r>
        <w:rPr>
          <w:b w:val="1"/>
          <w:b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du dessus.</w:t>
      </w:r>
    </w:p>
    <w:p>
      <w:pPr>
        <w:pStyle w:val="Titre.0"/>
        <w:rPr>
          <w:rStyle w:val="Aucun"/>
        </w:rPr>
      </w:pPr>
    </w:p>
    <w:p>
      <w:pPr>
        <w:pStyle w:val="Titre.0"/>
        <w:rPr>
          <w:rStyle w:val="Aucun"/>
        </w:rPr>
      </w:pPr>
      <w:r>
        <w:rPr>
          <w:rStyle w:val="Aucun"/>
          <w:rtl w:val="0"/>
          <w:lang w:val="fr-FR"/>
        </w:rPr>
        <w:t>Les programmes du cycle 2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Vous pouvez noter uniquement des exemples de situations que nous pouvons trouver dans notre vie. Vous pouvez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 faire le choix de travailler (ou plut</w:t>
      </w:r>
      <w:r>
        <w:rPr>
          <w:rStyle w:val="Aucun"/>
          <w:sz w:val="26"/>
          <w:szCs w:val="26"/>
          <w:rtl w:val="0"/>
          <w:lang w:val="fr-FR"/>
        </w:rPr>
        <w:t>ô</w:t>
      </w:r>
      <w:r>
        <w:rPr>
          <w:rStyle w:val="Aucun"/>
          <w:sz w:val="26"/>
          <w:szCs w:val="26"/>
          <w:rtl w:val="0"/>
          <w:lang w:val="fr-FR"/>
        </w:rPr>
        <w:t>t de faire travailler)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de fa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 xml:space="preserve">on plus formelle,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aide de manuels ou de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riel, comme le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riel Montessori par exemple.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vous permet ainsi de comprendre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adapter leur mise en oeuvre en fonction de vos choix 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dagogiques.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trouve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ainsi on se rend compte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une vie simple, mais riche d</w:t>
      </w:r>
      <w:r>
        <w:rPr>
          <w:rStyle w:val="Aucun"/>
          <w:sz w:val="26"/>
          <w:szCs w:val="26"/>
          <w:rtl w:val="0"/>
          <w:lang w:val="fr-FR"/>
        </w:rPr>
        <w:t>’é</w:t>
      </w:r>
      <w:r>
        <w:rPr>
          <w:rStyle w:val="Aucun"/>
          <w:sz w:val="26"/>
          <w:szCs w:val="26"/>
          <w:rtl w:val="0"/>
          <w:lang w:val="fr-FR"/>
        </w:rPr>
        <w:t>changes et tout simplement au contact avec le monde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el permet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aborder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norm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ment de notions tout naturellement. Le fait de ne pas 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tre entre quatre murs offre obligatoirement bien plus de possibilit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s. Ensuite, un peu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inventivit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et tout le monde peut vraiment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amuser et attiser sa soif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apprendre. Faites-vous plaisir en faisant plaisir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vos enfants.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Fran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ç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ais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rtl w:val="0"/>
              </w:rPr>
              <w:t>Conserver une attention soutenue lors de situations d'</w:t>
            </w:r>
            <w:r>
              <w:rPr>
                <w:rFonts w:ascii="Helvetica" w:hAnsi="Helvetica" w:hint="default"/>
                <w:sz w:val="20"/>
                <w:szCs w:val="2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rtl w:val="0"/>
              </w:rPr>
              <w:t xml:space="preserve">coute ou d'interactions et manifester, si besoin et </w:t>
            </w:r>
            <w:r>
              <w:rPr>
                <w:rFonts w:ascii="Helvetica" w:hAnsi="Helvetica" w:hint="default"/>
                <w:sz w:val="20"/>
                <w:szCs w:val="20"/>
                <w:shd w:val="clear" w:color="auto" w:fill="ffffff"/>
                <w:rtl w:val="0"/>
              </w:rPr>
              <w:t xml:space="preserve">à 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rtl w:val="0"/>
              </w:rPr>
              <w:t>bon escient, son incompr</w:t>
            </w:r>
            <w:r>
              <w:rPr>
                <w:rFonts w:ascii="Helvetica" w:hAnsi="Helvetica" w:hint="default"/>
                <w:sz w:val="20"/>
                <w:szCs w:val="2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rtl w:val="0"/>
              </w:rPr>
              <w:t>hension.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Dans les diff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rentes situations de communication, produire des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nonc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s clairs en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tenant compte de l'objet du propos et des interlocuteurs.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Pratiquer avec efficacit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les formes de discours attendus -notamment raconter,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crire, expliquer - dans des situations 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ù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les attentes sont explicites ; en particulier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raconter seul un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cit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tudi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Participer avec pertinence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un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change (questionner,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pondre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une interpellation, exprimer un accord ou un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saccord, apporter un compl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ment...)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Lecture et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Identifier des mots rapidement: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coder ais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ment des mots inconnus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guliers,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reconna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î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tre des mots fr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quents et des mots irr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guliers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moris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Lire et comprendre des textes adapt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la maturit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et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la culture des enfants.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Lire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voix haute avec fluidit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, apr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paration, un texte d'une demi-page, participer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une lecture dialogu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apr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paration.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Ecriture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Copier ou transcrire, dans une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criture lisible, un texte d'une dizaine de lignes en respectant la ponctuation, l'orthographe et en soignant la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sentation.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diger un texte d'environ une demi-page, coh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rent, organis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, ponctu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, pertinent par rapport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la vis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et au destinataire.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liorer une production, notamment l'orthographe, en tenant compte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d'indications.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Etude de la langue (grammaire, orthographe, lexique)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Orthographier les mots les plus fr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quents et les mots invariables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moris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Raisonner pour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aliser les accords dans le groupe nominal d'une part (d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terminant, nom, adjectif), entre le verbe et son sujet d'autre part (cas simples : sujet plac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avant le verbe et proche de lui ; sujet compos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d'un groupe nominal comportant au plus un adjectif).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Utiliser ses connaissances sur la langue pour mieux s'exprimer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l'oral, pour mieux comprendre des mots et des textes, pour am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liorer des textes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Math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matiques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Nombres et calculs.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Comprendre et utiliser des nombres entiers pour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nombrer, ordonner,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rer, comparer.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Nommer, lire,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crire, repr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senter des nombres entiers.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soudre des probl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mes en utilisant des nombres entiers et le calcul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Calculer avec des nombres entiers.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Grandeurs et mesures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Comparer, estimer, mesurer des longueurs, des masses, des contenances, des dur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Utiliser le lexique, les unit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s, les instruments de mesures sp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cifiques de ces grandeurs.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soudre des probl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mes impliquant des longueurs, des masses, des contenances, des dur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es, des prix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Espace et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(Se)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rer et (se)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placer en utilisant des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res et des repr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sentations.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Reconnaitre, nommer,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crire, reproduire quelques solides.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Reconnaitre, nommer,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crire, reproduire, construire quelques figures 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Reconnaitre et utiliser les notions d'alignement, d'angle droit, d'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galit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de longueurs, de milieu, de sym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Langues vivantes (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trang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res ou r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gionales)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Comprendre l'oral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Comprendre des mots familiers et des expressions tr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courantes au sujet de soi, de sa famille et de l'environnement concret et imm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diat, si les gens parlent lentement et distinctement.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S'exprimer oralement en continu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Utiliser des expressions et des phrases simples pour se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crire,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 le lieu d'habitation et les gens de l'entourage.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Prendre part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une conversation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Poser des questions simples sur des sujets familiers ou sur ce dont on a imm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diatement besoin, ainsi que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pondre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de telles questions.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Enseignements artistiques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4294967136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Arts plastiques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aliser et donner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voir, individuellement ou collectivement, des productions plastiques de natures diverses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Proposer des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ponses inventives dans un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projet individuel ou collectif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Coop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rer dans un projet artistique.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S'exprimer sur sa production, celle de ses pairs, sur l'art.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Comparer quelques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œ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uvres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art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Education musicale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Exp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rimenter sa voix parl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et chant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e, explorer ses param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tres, la mobiliser au b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fice d'une reproduction expressive.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Conna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î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tre et mettre en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œ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uvre les conditions d'une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coute attentive et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cise.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Imaginer des organisations simples . Cr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er des sons et maitriser leur succession.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29496713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Exprimer sa sensibilit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et exercer son esprit critique tout en respectant les gouts et points de vue de chacun.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ducation physique et sportive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Pour toutes ces comp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tences, il suffit de noter les activit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pratiqu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 par votre enfant (en famille ou dans des clubs, associations</w:t>
      </w:r>
      <w:r>
        <w:rPr>
          <w:sz w:val="26"/>
          <w:szCs w:val="26"/>
          <w:rtl w:val="0"/>
          <w:lang w:val="fr-FR"/>
        </w:rPr>
        <w:t>…</w:t>
      </w:r>
      <w:r>
        <w:rPr>
          <w:sz w:val="26"/>
          <w:szCs w:val="26"/>
          <w:rtl w:val="0"/>
          <w:lang w:val="fr-FR"/>
        </w:rPr>
        <w:t>)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Produire une performance maximale, mesur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ance donn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Courir, sauter, lancer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des intensit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et des dur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es variables dans des contextes adapt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savoir diff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rencier : courir vite et courir longtemps / lancer loin et lancer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cis / sauter haut et sauter loin.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Accepter de viser une performance mesur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et de se confronter aux autres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Remplir quelques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ô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les sp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cifiques (joueur, coach,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diateur, organisateur...)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Adapter ses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placements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environnements vari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Se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placer dans l'eau sur une quinzaine de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tres sans appui et apr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un temps d'immersion.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aliser un parcours en adaptant ses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placements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un environnement inhabituel.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L'espace est am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nag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et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curis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Respecter les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gles de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curit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qui s'appliquent.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S'exprimer devant les autres par une prestation artistique et /ou acrobatique.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Mobiliser le pouvoir expressif du corps, en reproduisant une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quence simple d'actions apprise ou en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sentant une action invent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S'adapter au rythme,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moriser des pas, des figures, des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ments et des enchainements pour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aliser des actions individuelles et collectives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Conduire et maitriser un affrontement collectif ou interindividuel.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S'engager dans un affrontement individuel ou collectif en respectant les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gles du jeu.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Contr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ô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ler son engagement moteur et affectif pour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ussir des actions simples.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Connaitre le but du jeu.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Reconnaitre ses partenaires et ses adversaires.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Questionner le monde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Qu'est-ce que la 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Identifier les trois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tats de la mati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 et observer des changements d'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tats.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Identifier un changement d'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tat de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l'eau dans un ph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nom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ne de la vie quotidienne.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Comment reconnaitre le monde vivant?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Connaitre des caract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ristiques du monde vivant, ses interactions, sa diversit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Reconnaitre des comportements favorables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sa sant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Les objets techniques. Qu'est-ce que c'est?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quels besoins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pondent-ils ? Comment fonctionnent-ils 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Comprendre la fonction et le fonctionnement d'objets fabriqu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aliser quelques objets et circuits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lectriques simples, en respectant des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gles </w:t>
            </w:r>
          </w:p>
          <w:p>
            <w:pPr>
              <w:pStyle w:val="Corps"/>
            </w:pP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mentaires de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curit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Commencer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s'approprier un environnement num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 situer dans l'espace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Se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rer dans l'espace et le repr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Situer un lieu sur une carte, sur un globe, ou sur un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cran informatique.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 situer dans le temps.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Se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rer dans le temps et mesurer des dur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rer et situer quelques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v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nements dans un temps long.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Explorer les organisations du monde.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Comparer quelques modes de vie des hommes et des femmes, et quelques repr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sentations du monde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Comprendre qu'un espace est organis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Identifier des paysages.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.0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