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jc w:val="center"/>
      </w:pPr>
      <w:r>
        <w:rPr>
          <w:rtl w:val="0"/>
          <w:lang w:val="fr-FR"/>
        </w:rPr>
        <w:t>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tences attendues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fin du cycle 1</w:t>
      </w:r>
    </w:p>
    <w:p>
      <w:pPr>
        <w:pStyle w:val="Titre"/>
        <w:jc w:val="center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VOTRE CULTURE GENERALE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Cycle 1, cycle des apprentissages premiers : petite section, moyenne section, grande section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 socle commun de connaissances, de comp</w:t>
      </w:r>
      <w:r>
        <w:rPr>
          <w:rtl w:val="0"/>
        </w:rPr>
        <w:t>é</w:t>
      </w:r>
      <w:r>
        <w:rPr>
          <w:rtl w:val="0"/>
        </w:rPr>
        <w:t xml:space="preserve">tences et de culture a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 xml:space="preserve">vu, en mars 2015, pour les enfants en </w:t>
      </w:r>
      <w:r>
        <w:rPr>
          <w:rtl w:val="0"/>
        </w:rPr>
        <w:t>â</w:t>
      </w:r>
      <w:r>
        <w:rPr>
          <w:rtl w:val="0"/>
        </w:rPr>
        <w:t>ge d</w:t>
      </w:r>
      <w:r>
        <w:rPr>
          <w:rtl w:val="0"/>
        </w:rPr>
        <w:t>’</w:t>
      </w:r>
      <w:r>
        <w:rPr>
          <w:rtl w:val="0"/>
        </w:rPr>
        <w:t xml:space="preserve">instruction obligatoire. Donc de 6 </w:t>
      </w:r>
      <w:r>
        <w:rPr>
          <w:rtl w:val="0"/>
        </w:rPr>
        <w:t xml:space="preserve">à </w:t>
      </w:r>
      <w:r>
        <w:rPr>
          <w:rtl w:val="0"/>
        </w:rPr>
        <w:t xml:space="preserve">16 ans,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poque. Il n</w:t>
      </w:r>
      <w:r>
        <w:rPr>
          <w:rtl w:val="0"/>
        </w:rPr>
        <w:t>’</w:t>
      </w:r>
      <w:r>
        <w:rPr>
          <w:rtl w:val="0"/>
        </w:rPr>
        <w:t>y a pas de v</w:t>
      </w:r>
      <w:r>
        <w:rPr>
          <w:rtl w:val="0"/>
        </w:rPr>
        <w:t>é</w:t>
      </w:r>
      <w:r>
        <w:rPr>
          <w:rtl w:val="0"/>
        </w:rPr>
        <w:t>ritable lien entre ce dernier et les programmes de la maternelle.</w:t>
      </w:r>
    </w:p>
    <w:p>
      <w:pPr>
        <w:pStyle w:val="Corps"/>
        <w:bidi w:val="0"/>
      </w:pPr>
      <w:r>
        <w:rPr>
          <w:rtl w:val="0"/>
        </w:rPr>
        <w:t>Voici un extrait du BO (bulletin officiel) qui le montre.</w:t>
      </w:r>
    </w:p>
    <w:p>
      <w:pPr>
        <w:pStyle w:val="Corps"/>
        <w:bidi w:val="0"/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sz w:val="32"/>
          <w:szCs w:val="32"/>
          <w:rtl w:val="0"/>
        </w:rPr>
      </w:pP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« 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Le socle commun de connaissances, de comp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tences et de culture couvre la 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riode de la scolarit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obligatoire, c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est-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à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-dire dix ann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es fondamentales de la vie et de la formation des enfants, de six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seize ans. Il correspond pour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essentiel aux enseignements de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mentaire et du coll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ge qui constituent une culture scolaire commune. Pr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c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 pour la plupart des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ves par une scolarisation en maternelle qui a permis un double objectif de formation et de socialisation. Elle donne aux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ves une culture commune, fond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 sur les connaissances et comp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tences indispensables, qui leur permettra de 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panouir personnellement, de 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velopper leur sociabilit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, de 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ussir la suite de leur parcours de formation, de 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ins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rer dans la soci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ù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ils vivront et de participer, comme citoyens,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son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volution. Le socle commun doit devenir une 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f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rence centrale pour le travail des enseignants et des acteurs du syst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me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ducatif, en ce qu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il 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finit les finalit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s de la scolarit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obligatoire et qu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il a pour exigence que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tienne sa promesse pour tous les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 »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.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Cependant le texte des nouveaux programmes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pointe la place fondamentale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dans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ussite des apprentissages. Pour nous qui sommes en instruction en famille, je vais essayer de rendre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hensibles les programmes et du coup les relier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 qui est faisable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Attention : il ne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agit pas des programmes strictes mais ce qui me semble transposable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ainsi vous simplifier la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hension et la t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che en essayant de relier les programmes simplifi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IEF et le socle commun.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0075b9"/>
          <w:sz w:val="32"/>
          <w:szCs w:val="32"/>
          <w:rtl w:val="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0075b9"/>
          <w:sz w:val="32"/>
          <w:szCs w:val="32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1cb000"/>
          <w:sz w:val="32"/>
          <w:szCs w:val="32"/>
          <w:rtl w:val="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f9300"/>
          <w:sz w:val="32"/>
          <w:szCs w:val="32"/>
          <w:rtl w:val="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f9300"/>
          <w:sz w:val="32"/>
          <w:szCs w:val="32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ef5ea7"/>
          <w:sz w:val="32"/>
          <w:szCs w:val="32"/>
          <w:rtl w:val="0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8ba00"/>
          <w:sz w:val="32"/>
          <w:szCs w:val="32"/>
          <w:rtl w:val="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Liens entre les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rents domaines et les programmes : </w:t>
      </w:r>
    </w:p>
    <w:p>
      <w:pPr>
        <w:pStyle w:val="Corps"/>
        <w:bidi w:val="0"/>
        <w:rPr>
          <w:rStyle w:val="Aucun"/>
        </w:rPr>
      </w:pPr>
    </w:p>
    <w:tbl>
      <w:tblPr>
        <w:tblW w:w="14567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83"/>
        <w:gridCol w:w="7284"/>
      </w:tblGrid>
      <w:tr>
        <w:tblPrEx>
          <w:shd w:val="clear" w:color="auto" w:fill="f8ba00"/>
        </w:tblPrEx>
        <w:trPr>
          <w:trHeight w:val="1001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0"/>
                <w:bCs w:val="0"/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Socle commun de connaissances,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br w:type="textWrapping"/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de comp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tences et de culture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instrText xml:space="preserve"> HYPERLINK "https://www.education.gouv.fr/pid25535/bulletin_officiel.html&amp;cid_bo=87834"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t>B.O. n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 xml:space="preserve">° 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17 du 23 avril 2015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end" w:fldLock="0"/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0"/>
                <w:bCs w:val="0"/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Programme d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’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enseignement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br w:type="textWrapping"/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de l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’é</w:t>
            </w: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cole maternelle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instrText xml:space="preserve"> HYPERLINK "https://cache.media.education.gouv.fr/file/MEN_SPE_2/37/8/ensel4759_arrete-annexe_prog_ecole_maternelle_403378.pdf"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t>B.O. sp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é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pt-PT"/>
                <w14:textFill>
                  <w14:solidFill>
                    <w14:srgbClr w14:val="E65100"/>
                  </w14:solidFill>
                </w14:textFill>
              </w:rPr>
              <w:t>cial n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>°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2 du 26 mars 2015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end" w:fldLock="0"/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auto"/>
        </w:tblPrEx>
        <w:trPr>
          <w:trHeight w:val="3363" w:hRule="atLeast"/>
        </w:trPr>
        <w:tc>
          <w:tcPr>
            <w:tcW w:type="dxa" w:w="7283"/>
            <w:tcBorders>
              <w:top w:val="single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la langue fran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aise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oral et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 en utilisant une langue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trang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re et, le cas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ch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ant, une langue 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gionale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les langages math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matiques, scientifiques et informatiques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utilisant les langages des arts et de corps</w:t>
            </w:r>
          </w:p>
        </w:tc>
        <w:tc>
          <w:tcPr>
            <w:tcW w:type="dxa" w:w="7283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Mobiliser le langage dans toutes ses dimensions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1.1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oral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Oser entrer en communication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Comprendre et apprendre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changer et 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avec les autres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sur la langue et acqu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une conscience phonologique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1.2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couter de 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 et comprendre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la fonction de 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produire des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crits et en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fonctionnement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principe alphab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à 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crire tout seul</w:t>
            </w:r>
          </w:p>
        </w:tc>
      </w:tr>
      <w:tr>
        <w:tblPrEx>
          <w:shd w:val="clear" w:color="auto" w:fill="auto"/>
        </w:tblPrEx>
        <w:trPr>
          <w:trHeight w:val="2202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en-US"/>
                <w14:textFill>
                  <w14:solidFill>
                    <w14:srgbClr w14:val="0076BA"/>
                  </w14:solidFill>
                </w14:textFill>
              </w:rPr>
              <w:t>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physique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Agir dans l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espace, dans la dur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et sur les objets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Adapter ses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quilibres et ses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placements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des environnements ou des contraintes vari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Communiquer avec les autres au travers d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actions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vis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expressive ou artistique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. Collaborer, coop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da-DK"/>
                <w14:textFill>
                  <w14:solidFill>
                    <w14:srgbClr w14:val="0076BA"/>
                  </w14:solidFill>
                </w14:textFill>
              </w:rPr>
              <w:t>rer,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opposer</w:t>
            </w:r>
          </w:p>
        </w:tc>
      </w:tr>
      <w:tr>
        <w:tblPrEx>
          <w:shd w:val="clear" w:color="auto" w:fill="auto"/>
        </w:tblPrEx>
        <w:trPr>
          <w:trHeight w:val="4501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3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les 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artistiques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velopper du go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û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 pour les pratiques artistiques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diff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rentes formes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expression artistique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Vivre et exprimer des 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motions, formuler des choix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Dessiner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S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exercer au graphisme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coratif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R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aliser des compositions plastiques, planes et en volume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Observer, comprendre et transformer des images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Jouer avec sa voix et acqu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 r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pertoire de comptines et de chansons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Explorer des instruments, utiliser les sonorit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du corps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Affiner son 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Pratiquer quelques activit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des arts du spectacle vivant</w:t>
            </w:r>
          </w:p>
        </w:tc>
      </w:tr>
      <w:tr>
        <w:tblPrEx>
          <w:shd w:val="clear" w:color="auto" w:fill="auto"/>
        </w:tblPrEx>
        <w:trPr>
          <w:trHeight w:val="3106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single" w:color="7f7f7f" w:sz="8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4 : Construire les premiers outils pour structurer sa pens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4.1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les nombres et leurs utilisations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Fonts w:ascii="Arial" w:cs="Arial" w:hAnsi="Arial" w:eastAsia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le nombre pour exprimer les quantit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Stabiliser la connaissance des petits nombres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Utiliser le nombre pour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signer un rang, une position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des premiers savoirs et savoir-faire avec rigueur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4.2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Explorer des formes, des grandeurs, des suites organis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es</w:t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r>
          </w:p>
        </w:tc>
      </w:tr>
      <w:tr>
        <w:tblPrEx>
          <w:shd w:val="clear" w:color="auto" w:fill="auto"/>
        </w:tblPrEx>
        <w:trPr>
          <w:trHeight w:val="417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les m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thodes et outils pour apprendre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Organisation du travail personnel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  <w:t>Coop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ration et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alisation de projets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dias, d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marches de recherche et de traitement de 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information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Outils num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riques pour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changer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 5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Explorer le monde</w:t>
            </w:r>
            <w:r>
              <w:rPr>
                <w:rStyle w:val="Aucu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5.2.1 Utiliser des outils num</w:t>
            </w:r>
            <w:r>
              <w:rPr>
                <w:rStyle w:val="Aucun"/>
                <w:rFonts w:ascii="Arial" w:hAnsi="Arial" w:hint="default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riques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adapte aux jeunes enfants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1.1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accueille les enfants et leurs parents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1.2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accompagne les transitions v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cues par les enfants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1.3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tient compte du d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veloppement de 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enfant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1.4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cole qui pratique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valuation positive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2.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organise des modalit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s sp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cifiques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2.1 Apprendre en jouant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2.2 Apprendre en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chissant et en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solvant des probl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mes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2.3 Apprendre en s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exer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2.4 Apprendre en se rem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morant et en 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morisant</w:t>
            </w:r>
          </w:p>
        </w:tc>
      </w:tr>
      <w:tr>
        <w:tblPrEx>
          <w:shd w:val="clear" w:color="auto" w:fill="auto"/>
        </w:tblPrEx>
        <w:trPr>
          <w:trHeight w:val="225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Domaine 3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: la formation de la personne et du citoyen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Expression de la sensibilit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et des opinions, respect des autres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La r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gle et le droit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flexion et discernement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Responsabilit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, sens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engagement et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initiative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 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3.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 o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 xml:space="preserve">ù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les enfants vont apprendre ensemble et vivre ensemble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3.1 Comprendre la fonction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3.2 Se construire comme personne singuli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 au sein d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un groupe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4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les syst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naturels et les syst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techniques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marches scientifiques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Conception, cr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ation, r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alisation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Responsabilit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s individuelles et collectives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Explorer le monde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Explorer la mati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Utiliser, fabriquer, manipuler des objets</w:t>
            </w:r>
          </w:p>
        </w:tc>
      </w:tr>
      <w:tr>
        <w:tblPrEx>
          <w:shd w:val="clear" w:color="auto" w:fill="auto"/>
        </w:tblPrEx>
        <w:trPr>
          <w:trHeight w:val="305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5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les repr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 et 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en-US"/>
                <w14:textFill>
                  <w14:solidFill>
                    <w14:srgbClr w14:val="F8BA00"/>
                  </w14:solidFill>
                </w14:textFill>
              </w:rPr>
              <w:t>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humaine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 et le temps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Organisations et repr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Invention, 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laboration, production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Explorer le monde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5.1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it-IT"/>
                <w14:textFill>
                  <w14:solidFill>
                    <w14:srgbClr w14:val="F8BA00"/>
                  </w14:solidFill>
                </w14:textFill>
              </w:rPr>
              <w:t>Se rep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rer dans le temps et 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Le temps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Stabiliser les premiers rep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temporels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Introduire les rep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sociaux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Consolider la notion de chronologie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. Sensibiliser 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 notion de dur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. L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5.2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Explorer le monde du vivant, des objets et de la mati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re</w:t>
            </w:r>
            <w:r>
              <w:rPr>
                <w:rStyle w:val="Aucu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D</w:t>
            </w:r>
            <w:r>
              <w:rPr>
                <w:rStyle w:val="Aucun"/>
                <w:rFonts w:ascii="Arial" w:hAnsi="Arial" w:hint="default"/>
                <w:b w:val="0"/>
                <w:bCs w:val="0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couvrir le monde vivant</w:t>
            </w:r>
          </w:p>
        </w:tc>
      </w:tr>
    </w:tbl>
    <w:p>
      <w:pPr>
        <w:pStyle w:val="Corps"/>
        <w:bidi w:val="0"/>
        <w:rPr>
          <w:rStyle w:val="Aucun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PREPARER VOTRE DOSSIER DE SUIVI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rtl w:val="0"/>
          <w:lang w:val="fr-FR"/>
        </w:rPr>
        <w:t xml:space="preserve"> </w:t>
      </w: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Ce document est donc l</w:t>
      </w:r>
      <w:r>
        <w:rPr>
          <w:rStyle w:val="Aucun"/>
          <w:rtl w:val="0"/>
          <w:lang w:val="fr-FR"/>
        </w:rPr>
        <w:t xml:space="preserve">à à </w:t>
      </w:r>
      <w:r>
        <w:rPr>
          <w:rStyle w:val="Aucun"/>
          <w:rtl w:val="0"/>
          <w:lang w:val="fr-FR"/>
        </w:rPr>
        <w:t>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exemple,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aide possible et ainsi vous saurez ce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quoi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inspecteur peut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rer. 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a peut aussi vous donner des 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et aussi, ou surtout, vous montrer que beaucoup de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rPr>
          <w:rStyle w:val="Aucun"/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enqu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teur peut se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f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change et le rendre le plus riche et constructif possible.</w:t>
      </w:r>
      <w:r>
        <w:rPr>
          <w:i w:val="1"/>
          <w:iCs w:val="1"/>
          <w:rtl w:val="0"/>
          <w:lang w:val="fr-FR"/>
        </w:rPr>
        <w:t> »</w:t>
      </w: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Les programmes du cycle 1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Je vais essayer de vous donner des exemples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applications simples, que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on trouve au maximum dans la vie courante. Pour le jour de votre contr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dagogique, vous avez juste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remplacer ces exemples avec ce que vous avez fait dans votre famille, o</w:t>
      </w:r>
      <w:r>
        <w:rPr>
          <w:rStyle w:val="Aucun"/>
          <w:rtl w:val="0"/>
          <w:lang w:val="fr-FR"/>
        </w:rPr>
        <w:t xml:space="preserve">ù à </w:t>
      </w:r>
      <w:r>
        <w:rPr>
          <w:rStyle w:val="Aucun"/>
          <w:rtl w:val="0"/>
          <w:lang w:val="fr-FR"/>
        </w:rPr>
        <w:t>donner le 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jeu,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manuel,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livre,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atelier Montessori</w:t>
      </w:r>
      <w:r>
        <w:rPr>
          <w:rStyle w:val="Aucun"/>
          <w:rtl w:val="0"/>
          <w:lang w:val="fr-FR"/>
        </w:rPr>
        <w:t>…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Sachez que le jour du contr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le, ils ne testent le plus souvent que les fondamentaux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ducation nationale 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 xml:space="preserve">lire,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crire, compter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>. Ils peuvent appr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cier cependant que le dossier de suivi aborde tous les domaines. </w:t>
      </w:r>
    </w:p>
    <w:p>
      <w:pPr>
        <w:pStyle w:val="Titre.0"/>
        <w:rPr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pStyle w:val="Titre.0"/>
        <w:rPr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d'apprentissage 1 : Mobiliser le langage dans toutes ses dimensions</w:t>
      </w:r>
    </w:p>
    <w:p>
      <w:pPr>
        <w:pStyle w:val="Corps"/>
        <w:bidi w:val="0"/>
      </w:pPr>
    </w:p>
    <w:p>
      <w:pPr>
        <w:pStyle w:val="Légende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oral</w:t>
      </w:r>
    </w:p>
    <w:p>
      <w:pPr>
        <w:pStyle w:val="Légende"/>
        <w:bidi w:val="0"/>
      </w:pPr>
    </w:p>
    <w:p>
      <w:pPr>
        <w:pStyle w:val="Corps"/>
        <w:bidi w:val="0"/>
      </w:pPr>
      <w:r>
        <w:rPr>
          <w:rtl w:val="0"/>
        </w:rPr>
        <w:t>Toutes ces comp</w:t>
      </w:r>
      <w:r>
        <w:rPr>
          <w:rtl w:val="0"/>
        </w:rPr>
        <w:t>é</w:t>
      </w:r>
      <w:r>
        <w:rPr>
          <w:rtl w:val="0"/>
        </w:rPr>
        <w:t>tences l</w:t>
      </w:r>
      <w:r>
        <w:rPr>
          <w:rtl w:val="0"/>
        </w:rPr>
        <w:t>à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</w:rPr>
        <w:t>part peut-</w:t>
      </w:r>
      <w:r>
        <w:rPr>
          <w:rtl w:val="0"/>
        </w:rPr>
        <w:t>ê</w:t>
      </w:r>
      <w:r>
        <w:rPr>
          <w:rtl w:val="0"/>
        </w:rPr>
        <w:t>tre les trois derni</w:t>
      </w:r>
      <w:r>
        <w:rPr>
          <w:rtl w:val="0"/>
        </w:rPr>
        <w:t>è</w:t>
      </w:r>
      <w:r>
        <w:rPr>
          <w:rtl w:val="0"/>
        </w:rPr>
        <w:t>res (et encore), sont travaill</w:t>
      </w:r>
      <w:r>
        <w:rPr>
          <w:rtl w:val="0"/>
        </w:rPr>
        <w:t>é</w:t>
      </w:r>
      <w:r>
        <w:rPr>
          <w:rtl w:val="0"/>
        </w:rPr>
        <w:t xml:space="preserve">es naturellement pour peut que vous discutiez avec votre enfant </w:t>
      </w:r>
      <w:r>
        <w:rPr>
          <w:rtl w:val="0"/>
        </w:rPr>
        <w:t>« </w:t>
      </w:r>
      <w:r>
        <w:rPr>
          <w:rtl w:val="0"/>
        </w:rPr>
        <w:t>normalement</w:t>
      </w:r>
      <w:r>
        <w:rPr>
          <w:rtl w:val="0"/>
        </w:rPr>
        <w:t> »</w:t>
      </w:r>
      <w:r>
        <w:rPr>
          <w:rtl w:val="0"/>
        </w:rPr>
        <w:t>, en utilisant du vocabulaire juste, comme vous le feriez avec un pair. Lorsque votre enfant est b</w:t>
      </w:r>
      <w:r>
        <w:rPr>
          <w:rtl w:val="0"/>
        </w:rPr>
        <w:t>é</w:t>
      </w:r>
      <w:r>
        <w:rPr>
          <w:rtl w:val="0"/>
        </w:rPr>
        <w:t>b</w:t>
      </w:r>
      <w:r>
        <w:rPr>
          <w:rtl w:val="0"/>
        </w:rPr>
        <w:t>é</w:t>
      </w:r>
      <w:r>
        <w:rPr>
          <w:rtl w:val="0"/>
        </w:rPr>
        <w:t>, parlez-lui, verbalisez vos actions</w:t>
      </w:r>
      <w:r>
        <w:rPr>
          <w:rtl w:val="0"/>
        </w:rPr>
        <w:t xml:space="preserve">… </w:t>
      </w:r>
      <w:r>
        <w:rPr>
          <w:rtl w:val="0"/>
        </w:rPr>
        <w:t>Puis lorsqu</w:t>
      </w:r>
      <w:r>
        <w:rPr>
          <w:rtl w:val="0"/>
        </w:rPr>
        <w:t>’</w:t>
      </w:r>
      <w:r>
        <w:rPr>
          <w:rtl w:val="0"/>
        </w:rPr>
        <w:t>il grandit, continuez, sans simplifier ou adapter le vocabulaire. La lecture d</w:t>
      </w:r>
      <w:r>
        <w:rPr>
          <w:rtl w:val="0"/>
        </w:rPr>
        <w:t>’</w:t>
      </w:r>
      <w:r>
        <w:rPr>
          <w:rtl w:val="0"/>
        </w:rPr>
        <w:t xml:space="preserve">histoires favorise </w:t>
      </w:r>
      <w:r>
        <w:rPr>
          <w:rtl w:val="0"/>
        </w:rPr>
        <w:t>é</w:t>
      </w:r>
      <w:r>
        <w:rPr>
          <w:rtl w:val="0"/>
        </w:rPr>
        <w:t>galement la progression dans la ma</w:t>
      </w:r>
      <w:r>
        <w:rPr>
          <w:rtl w:val="0"/>
        </w:rPr>
        <w:t>î</w:t>
      </w:r>
      <w:r>
        <w:rPr>
          <w:rtl w:val="0"/>
        </w:rPr>
        <w:t>trise de la langue. R</w:t>
      </w:r>
      <w:r>
        <w:rPr>
          <w:rtl w:val="0"/>
        </w:rPr>
        <w:t>é</w:t>
      </w:r>
      <w:r>
        <w:rPr>
          <w:rtl w:val="0"/>
        </w:rPr>
        <w:t>galez-vous avec tous les merveilleux albums existants !</w:t>
      </w:r>
    </w:p>
    <w:p>
      <w:pPr>
        <w:pStyle w:val="Corps"/>
        <w:bidi w:val="0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Communiquer avec les adultes et avec les autres enfants par le langage, en se faisant comprendre.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exprimer dans un langage syntaxiquement correct et 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 lexique appris (en classe) de fa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on appropri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Reformuler pour se faire mieux comprendre.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Reformuler le propos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autrui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Pratiquer divers usages de la langue orale : raconter,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voquer, expliquer, questionner, proposer des solutions, discuter un point de vue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Légende"/>
        <w:bidi w:val="0"/>
      </w:pP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crit</w:t>
      </w:r>
    </w:p>
    <w:p>
      <w:pPr>
        <w:pStyle w:val="Légende"/>
        <w:bidi w:val="0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de 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moire et de mani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expressive plusieurs comptines et po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Comprendre des textes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lus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crits sans autre aide que le langage entendu.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Manifester de la curiosit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 rapport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compr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hension et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production de 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Pouvoir redire les mots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phrase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 apr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sa lecture par 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adulte, les mots du titre connu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livre ou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texte.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Participer verbalement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production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crit.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Savoir 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 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 pas comme on parle.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des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gularit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dans la langue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oral en fran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ais (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ventuellement dans une autre langue).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Distinguer et manipuler des syllabes : scander les syllabes constitutives d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mot, comprendre qu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 peut en supprimer, en ajouter, en inverser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et produire des rimes, des assonances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Reconna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les lettres de 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alphabet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conna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leur nom, savoir que le nom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lettre peut-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diff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 que le son 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elle transcrit.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Conna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tre les correspondances entre les trois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critures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cursive, script, capitales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imprimerie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et commencer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faire le lien avec le son 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elles codent. 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Copier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aide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clavier.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Reconnaitre son 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nom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 en lettres capitales, en script ou en cursive. Conna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le nom des lettres qui le composent.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Copier en cursive un mot ou une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courte phrase dont le sens est connu.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Ecrire son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nom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criture cursive sans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le.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9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Ecrire seul un mot en utilisant des lettres ou groupes de lettres emprunt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aux mots connus.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égende"/>
        <w:bidi w:val="0"/>
      </w:pPr>
    </w:p>
    <w:p>
      <w:pPr>
        <w:pStyle w:val="Légende"/>
        <w:bidi w:val="0"/>
      </w:pPr>
    </w:p>
    <w:p>
      <w:pPr>
        <w:pStyle w:val="Légende"/>
        <w:bidi w:val="0"/>
      </w:pPr>
    </w:p>
    <w:p>
      <w:pPr>
        <w:pStyle w:val="Titre.0"/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apprentissage 2 :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Agir, s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travers l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activit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é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physique</w:t>
      </w:r>
    </w:p>
    <w:p>
      <w:pPr>
        <w:pStyle w:val="Corps"/>
        <w:bidi w:val="0"/>
        <w:rPr>
          <w:rStyle w:val="Aucun"/>
          <w:rFonts w:ascii="Calibri" w:cs="Calibri" w:hAnsi="Calibri" w:eastAsia="Calibri"/>
        </w:rPr>
      </w:pPr>
    </w:p>
    <w:p>
      <w:pPr>
        <w:pStyle w:val="Corps"/>
        <w:bidi w:val="0"/>
      </w:pPr>
      <w:r>
        <w:rPr>
          <w:rtl w:val="0"/>
        </w:rPr>
        <w:t>Toutes ces comp</w:t>
      </w:r>
      <w:r>
        <w:rPr>
          <w:rtl w:val="0"/>
        </w:rPr>
        <w:t>é</w:t>
      </w:r>
      <w:r>
        <w:rPr>
          <w:rtl w:val="0"/>
        </w:rPr>
        <w:t>tences sont vraiment adapt</w:t>
      </w:r>
      <w:r>
        <w:rPr>
          <w:rtl w:val="0"/>
        </w:rPr>
        <w:t>é</w:t>
      </w:r>
      <w:r>
        <w:rPr>
          <w:rtl w:val="0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cole, dans un espace d</w:t>
      </w:r>
      <w:r>
        <w:rPr>
          <w:rtl w:val="0"/>
        </w:rPr>
        <w:t>é</w:t>
      </w:r>
      <w:r>
        <w:rPr>
          <w:rtl w:val="0"/>
        </w:rPr>
        <w:t>fini ou recr</w:t>
      </w:r>
      <w:r>
        <w:rPr>
          <w:rtl w:val="0"/>
        </w:rPr>
        <w:t xml:space="preserve">éé </w:t>
      </w:r>
      <w:r>
        <w:rPr>
          <w:rtl w:val="0"/>
        </w:rPr>
        <w:t>artificiellement. N</w:t>
      </w:r>
      <w:r>
        <w:rPr>
          <w:rtl w:val="0"/>
        </w:rPr>
        <w:t>’</w:t>
      </w:r>
      <w:r>
        <w:rPr>
          <w:rtl w:val="0"/>
        </w:rPr>
        <w:t>h</w:t>
      </w:r>
      <w:r>
        <w:rPr>
          <w:rtl w:val="0"/>
        </w:rPr>
        <w:t>é</w:t>
      </w:r>
      <w:r>
        <w:rPr>
          <w:rtl w:val="0"/>
        </w:rPr>
        <w:t xml:space="preserve">sitez pas </w:t>
      </w:r>
      <w:r>
        <w:rPr>
          <w:rtl w:val="0"/>
        </w:rPr>
        <w:t xml:space="preserve">à </w:t>
      </w:r>
      <w:r>
        <w:rPr>
          <w:rtl w:val="0"/>
        </w:rPr>
        <w:t>mettre en face tout ce que vous faites en famille, durant les vacances ou autres, en le r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é</w:t>
      </w:r>
      <w:r>
        <w:rPr>
          <w:rtl w:val="0"/>
        </w:rPr>
        <w:t>tant plusieurs fois, ou si votre enfant fait des activit</w:t>
      </w:r>
      <w:r>
        <w:rPr>
          <w:rtl w:val="0"/>
        </w:rPr>
        <w:t>é</w:t>
      </w:r>
      <w:r>
        <w:rPr>
          <w:rtl w:val="0"/>
        </w:rPr>
        <w:t>s en groupe ou individuelles</w:t>
      </w:r>
      <w:r>
        <w:rPr>
          <w:rtl w:val="0"/>
        </w:rPr>
        <w:t>…</w:t>
      </w:r>
    </w:p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Courir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sauter, lancer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diff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rentes fa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ons, dans des espaces et avec des mat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riels vari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but 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Ajuster et encha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ner ses actions et ses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 en fonction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obstacles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franchir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ou de la trajectoire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objets sur lesquels agir.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placer avec aisance dans des environnements vari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 naturels ou am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nag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Coordonner ses gestes et ses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 avec ceux des autres, lors de rondes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jeux chant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Construire et conserver une 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quence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actions et de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relation avec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autres partenaires, avec ou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sans support musical.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rer, exercer des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 diff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compl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mentaires,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opposer,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laborer des strat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pour viser un but ou un effet commun.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apprentissage 3 : Agir, s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travers les activit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s artistiques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Les productions 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plastiques et visuelles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Choisir diff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outils, 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diums, supports en fonction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projet ou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consigne et les utiliser en adaptant son geste.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Pratiquer le dessin pour repr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senter ou illustrer, en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tant fid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au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el ou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mod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le, ou en inventant.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composition personnelle en reproduisant des graphismes.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 des graphismes nouveaux.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des compositions plastiques, seul ou en petit groupe, en choisissant et combinant des mat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riaux, en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investissant des techniques et des proc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crire une image, (parler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extrait musical) et exprimer son ressenti ou sa compr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hension en utilisant un vocabulaire adapt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univers sonore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22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Avoir 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moris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pertoire vari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comptines et de chansons et les interpr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 de mani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expressive.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Jouer avec sa voix pour explorer des variantes de timbre,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intensit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de hauteur, de nuance.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et reproduire, corporellement ou avec des instruments, des formules rythmiques simples.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Proposer des solutions dans des situations de projet, de cr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ation, de 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solution de probl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è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mes, avec son corps, sa voix ou des objets sonores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.0"/>
        <w:rPr>
          <w:rStyle w:val="Aucun"/>
          <w:rFonts w:ascii="Trebuchet MS" w:cs="Trebuchet MS" w:hAnsi="Trebuchet MS" w:eastAsia="Trebuchet MS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apprentissage 4 :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 </w:t>
      </w:r>
      <w:r>
        <w:rPr>
          <w:rStyle w:val="Aucun"/>
          <w:rFonts w:ascii="Trebuchet MS" w:hAnsi="Trebuchet MS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Construire les premiers outils pour structurer sa pens</w:t>
      </w:r>
      <w:r>
        <w:rPr>
          <w:rStyle w:val="Aucun"/>
          <w:rFonts w:ascii="Trebuchet MS" w:hAnsi="Trebuchet MS" w:hint="default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e</w:t>
      </w:r>
    </w:p>
    <w:p>
      <w:pPr>
        <w:pStyle w:val="Corps"/>
        <w:bidi w:val="0"/>
        <w:rPr>
          <w:rStyle w:val="Aucun"/>
          <w:rFonts w:ascii="Trebuchet MS" w:cs="Trebuchet MS" w:hAnsi="Trebuchet MS" w:eastAsia="Trebuchet MS"/>
        </w:rPr>
      </w:pPr>
    </w:p>
    <w:p>
      <w:pPr>
        <w:pStyle w:val="Corps"/>
        <w:bidi w:val="0"/>
        <w:rPr>
          <w:rStyle w:val="Aucun"/>
          <w:rFonts w:ascii="Trebuchet MS" w:cs="Trebuchet MS" w:hAnsi="Trebuchet MS" w:eastAsia="Trebuchet M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76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couvrir les nombres et leurs utilisations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76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</w:pPr>
      <w:r>
        <w:rPr>
          <w:rtl w:val="0"/>
        </w:rPr>
        <w:t xml:space="preserve">Avec les enfants de trois </w:t>
      </w:r>
      <w:r>
        <w:rPr>
          <w:rtl w:val="0"/>
        </w:rPr>
        <w:t xml:space="preserve">à </w:t>
      </w:r>
      <w:r>
        <w:rPr>
          <w:rtl w:val="0"/>
        </w:rPr>
        <w:t>six ans, ces comp</w:t>
      </w:r>
      <w:r>
        <w:rPr>
          <w:rtl w:val="0"/>
        </w:rPr>
        <w:t>é</w:t>
      </w:r>
      <w:r>
        <w:rPr>
          <w:rtl w:val="0"/>
        </w:rPr>
        <w:t>tences s</w:t>
      </w:r>
      <w:r>
        <w:rPr>
          <w:rtl w:val="0"/>
        </w:rPr>
        <w:t>’</w:t>
      </w:r>
      <w:r>
        <w:rPr>
          <w:rtl w:val="0"/>
        </w:rPr>
        <w:t>acqui</w:t>
      </w:r>
      <w:r>
        <w:rPr>
          <w:rtl w:val="0"/>
        </w:rPr>
        <w:t>è</w:t>
      </w:r>
      <w:r>
        <w:rPr>
          <w:rtl w:val="0"/>
        </w:rPr>
        <w:t xml:space="preserve">res </w:t>
      </w:r>
      <w:r>
        <w:rPr>
          <w:rtl w:val="0"/>
        </w:rPr>
        <w:t>é</w:t>
      </w:r>
      <w:r>
        <w:rPr>
          <w:rtl w:val="0"/>
        </w:rPr>
        <w:t>galement naturellement. Il faut verbaliser les situations, comme avec les oeufs. Lorsque c</w:t>
      </w:r>
      <w:r>
        <w:rPr>
          <w:rtl w:val="0"/>
        </w:rPr>
        <w:t>’</w:t>
      </w:r>
      <w:r>
        <w:rPr>
          <w:rtl w:val="0"/>
        </w:rPr>
        <w:t>est dans un contexte bien d</w:t>
      </w:r>
      <w:r>
        <w:rPr>
          <w:rtl w:val="0"/>
        </w:rPr>
        <w:t>é</w:t>
      </w:r>
      <w:r>
        <w:rPr>
          <w:rtl w:val="0"/>
        </w:rPr>
        <w:t>fini, l</w:t>
      </w:r>
      <w:r>
        <w:rPr>
          <w:rtl w:val="0"/>
        </w:rPr>
        <w:t>’</w:t>
      </w:r>
      <w:r>
        <w:rPr>
          <w:rtl w:val="0"/>
        </w:rPr>
        <w:t>enfant comprend, ne m</w:t>
      </w:r>
      <w:r>
        <w:rPr>
          <w:rtl w:val="0"/>
        </w:rPr>
        <w:t>é</w:t>
      </w:r>
      <w:r>
        <w:rPr>
          <w:rtl w:val="0"/>
        </w:rPr>
        <w:t>lange pas. C</w:t>
      </w:r>
      <w:r>
        <w:rPr>
          <w:rtl w:val="0"/>
        </w:rPr>
        <w:t>’</w:t>
      </w:r>
      <w:r>
        <w:rPr>
          <w:rtl w:val="0"/>
        </w:rPr>
        <w:t xml:space="preserve">est concret, </w:t>
      </w:r>
      <w:r>
        <w:rPr>
          <w:rtl w:val="0"/>
        </w:rPr>
        <w:t>ç</w:t>
      </w:r>
      <w:r>
        <w:rPr>
          <w:rtl w:val="0"/>
        </w:rPr>
        <w:t>a a du sens. C</w:t>
      </w:r>
      <w:r>
        <w:rPr>
          <w:rtl w:val="0"/>
        </w:rPr>
        <w:t>’</w:t>
      </w:r>
      <w:r>
        <w:rPr>
          <w:rtl w:val="0"/>
        </w:rPr>
        <w:t>est le fait de manipuler, de d</w:t>
      </w:r>
      <w:r>
        <w:rPr>
          <w:rtl w:val="0"/>
        </w:rPr>
        <w:t>é</w:t>
      </w:r>
      <w:r>
        <w:rPr>
          <w:rtl w:val="0"/>
        </w:rPr>
        <w:t xml:space="preserve">placer, de placer qui aide </w:t>
      </w:r>
      <w:r>
        <w:rPr>
          <w:rtl w:val="0"/>
        </w:rPr>
        <w:t xml:space="preserve">à </w:t>
      </w:r>
      <w:r>
        <w:rPr>
          <w:rtl w:val="0"/>
        </w:rPr>
        <w:t>construire ces notions de nombres, de quantit</w:t>
      </w:r>
      <w:r>
        <w:rPr>
          <w:rtl w:val="0"/>
        </w:rPr>
        <w:t>é</w:t>
      </w:r>
      <w:r>
        <w:rPr>
          <w:rtl w:val="0"/>
        </w:rPr>
        <w:t>s.</w:t>
      </w:r>
    </w:p>
    <w:p>
      <w:pPr>
        <w:pStyle w:val="Corps"/>
        <w:rPr>
          <w:sz w:val="24"/>
          <w:szCs w:val="24"/>
        </w:rPr>
      </w:pPr>
    </w:p>
    <w:tbl>
      <w:tblPr>
        <w:tblW w:w="1430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valuer et comparer des collections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objets avec des proc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dures num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 ou non num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(perception imm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diate, correspondance terme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terme,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aliser une collection dont le cardinal est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compris entre 1 et 10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nombrement pour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omparer deux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ou pour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collection de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 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gale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collection propos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(quantit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rieure ou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gale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10)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 nombre pour exprimer la position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objet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personne dans un jeu,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une situation organis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e, sur un rang ou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pour comparer des positions.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Mobiliser des symboles analogiques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(constellations, doigts)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verbaux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(mots nombres)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ou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(chiffres)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pour communiquer des informations orales et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crites sur une quantit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jusqu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 au moins.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Avoir compris que le cardinal ne change pas si on modifie la disposition spatiale ou la nature des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Avoir compris que tout nombre 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obtient en ajoutant un au nombre 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dent et que cela correspond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ajout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unit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quantit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dente.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Quantifier des collections jusqu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dix au moins.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 composer et les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composer par manipulations effectives puis mentales.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combien il faut ajouter ou enlever pour obtenir des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ne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passant pas dix.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Parler des nombres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aide de leur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composition.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la suite des nombres jusqu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trente.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Dire la suite des nombres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partir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nombre donn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(entre 1 et 30)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Lire les nombres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crits en chiffres jusqu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dix.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b w:val="1"/>
                <w:bCs w:val="1"/>
                <w:sz w:val="22"/>
                <w:szCs w:val="22"/>
                <w:rtl w:val="0"/>
                <w:lang w:val="fr-FR"/>
              </w:rPr>
              <w:t>Commencer</w:t>
            </w:r>
            <w:r>
              <w:rPr>
                <w:sz w:val="22"/>
                <w:szCs w:val="22"/>
                <w:rtl w:val="0"/>
                <w:lang w:val="fr-FR"/>
              </w:rPr>
              <w:t xml:space="preserve"> à é</w:t>
            </w:r>
            <w:r>
              <w:rPr>
                <w:sz w:val="22"/>
                <w:szCs w:val="22"/>
                <w:rtl w:val="0"/>
                <w:lang w:val="fr-FR"/>
              </w:rPr>
              <w:t>crire les nombres en chiffre jusqu</w:t>
            </w:r>
            <w:r>
              <w:rPr>
                <w:sz w:val="22"/>
                <w:szCs w:val="22"/>
                <w:rtl w:val="0"/>
                <w:lang w:val="fr-FR"/>
              </w:rPr>
              <w:t xml:space="preserve">’à </w:t>
            </w:r>
            <w:r>
              <w:rPr>
                <w:sz w:val="22"/>
                <w:szCs w:val="22"/>
                <w:rtl w:val="0"/>
              </w:rPr>
              <w:t>10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Commencer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comparer deux nombres inf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rieurs ou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gaux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10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crits en chiffres.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Commencer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positionner des nombres les uns par rapport aux autres et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compl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ter une bande num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rique lacunaire (inf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rieurs ou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gaux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10)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Commencer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soudre des probl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è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mes de composition de deux collections, d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ajout ou de retrait, de produit ou de partage.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Style w:val="Aucun"/>
          <w:sz w:val="32"/>
          <w:szCs w:val="32"/>
          <w:shd w:val="nil" w:color="auto" w:fill="auto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Explorer des formes,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des grandeurs, des suites organis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22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des objets en fonction de caract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ristiques li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leur forme.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Reconna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quelques solides (cube, pyramide, boule, cylindre).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Savoir nommer quelques formes planes (carr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triangle, cercle ou disque, rectangle)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et ce dans toutes leurs orientations et configurations.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ou ranger des objets selon un crit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de longueur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ou de masse ou de contenance.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Reproduire un assemblage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partir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mod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puzzle, pavage, assemblage de solides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Reproduire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dessiner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des formes planes.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Identifier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organisation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guli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algorithme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 et poursuivre son application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"/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lang w:val="fr-FR"/>
          <w14:textFill>
            <w14:solidFill>
              <w14:srgbClr w14:val="99195E"/>
            </w14:solidFill>
          </w14:textFill>
        </w:rPr>
      </w:pPr>
    </w:p>
    <w:p>
      <w:pPr>
        <w:pStyle w:val="Titre"/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lang w:val="fr-FR"/>
          <w14:textFill>
            <w14:solidFill>
              <w14:srgbClr w14:val="99195E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Domaine d</w:t>
      </w: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apprentissage 5 : explorer le monde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Le temps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Situer des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nements v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cus les uns par rapport aux autres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l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 rep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rant dans la journ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e, la semaine, le mois ou une saison.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Ordonner une suite de photographies ou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images, pour rendre compte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situation v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cue ou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 fictif entendu, en marquant de mani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exacte succession et simultan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des marqueurs temporels adapt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(puis, pendant, avant, apr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s,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des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cits, descriptions ou explications.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tl w:val="0"/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espace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Situer des objets par rapport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soi, entre eux, par rapport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 objets rep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situer par rapport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autres, par rapport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 objets rep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environnement bien connu,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aliser un trajet, un parcours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partir de sa repr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sentation (dessin ou codage).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laborer des premiers essais de repr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sentation plane, communicables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(construction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code commun).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52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Calibri" w:hAnsi="Calibri"/>
                <w:sz w:val="24"/>
                <w:szCs w:val="24"/>
                <w:rtl w:val="0"/>
              </w:rPr>
              <w:t>Orienter et utiliser correctement une feuille de papier, un livre ou un autre support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crit, en fonction de consignes,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 but ou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 projet 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des marqueurs spatiaux adapt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(devant, derri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re, droite, gauche, dessus, dessous,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 dans des 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cits, descriptions ou explications.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4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4c7f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4D8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